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EE2A2" w14:textId="77777777" w:rsidR="00320AC8" w:rsidRDefault="00320AC8" w:rsidP="00320AC8">
      <w:pPr>
        <w:spacing w:after="0" w:line="360" w:lineRule="auto"/>
        <w:jc w:val="both"/>
        <w:rPr>
          <w:rFonts w:ascii="Arial" w:hAnsi="Arial" w:cs="Arial"/>
          <w:lang w:val="es-AR"/>
        </w:rPr>
      </w:pPr>
      <w:r>
        <w:rPr>
          <w:rFonts w:ascii="Arial" w:hAnsi="Arial" w:cs="Arial"/>
          <w:lang w:val="es-AR"/>
        </w:rPr>
        <w:t>Psiquis, cultura y cosas.</w:t>
      </w:r>
    </w:p>
    <w:p w14:paraId="5FE95D3B" w14:textId="77777777" w:rsidR="00320AC8" w:rsidRDefault="00320AC8" w:rsidP="00320AC8">
      <w:pPr>
        <w:spacing w:after="0" w:line="360" w:lineRule="auto"/>
        <w:ind w:firstLine="708"/>
        <w:jc w:val="both"/>
        <w:rPr>
          <w:rFonts w:ascii="Arial" w:hAnsi="Arial" w:cs="Arial"/>
          <w:lang w:val="es-AR"/>
        </w:rPr>
      </w:pPr>
      <w:r>
        <w:rPr>
          <w:rFonts w:ascii="Arial" w:hAnsi="Arial" w:cs="Arial"/>
          <w:lang w:val="es-AR"/>
        </w:rPr>
        <w:t>La psiquis y la cultura son fenómenos peculiares. Ni la psiquis ni la cultura se pueden ver, oír, palpar u oler. Más que entidades con sustancia, son fenómenos del discurso que refieren a las dinámicas intangibles entre cosas cambiantes y que, sin argumentos y herramientas simbólicas, no podrían ser concebidas, comunicadas o convertidas en objetos de conocimiento. Sin embargo, esto no parece ser un obstáculo para comprender si la experiencia de un fenómeno pertenece al plano psicológico, sociocultural, a ambos o a ninguno; es decir, a la naturaleza. Pareciera que la esencia efímera de estas dos entidades solo se materializa cuando algún tipo de cosa o evento las hace aparecer como «reales» ante nuestros sentidos.</w:t>
      </w:r>
    </w:p>
    <w:p w14:paraId="16AA8E5B" w14:textId="77777777" w:rsidR="00320AC8" w:rsidRDefault="00320AC8" w:rsidP="00320AC8">
      <w:pPr>
        <w:spacing w:after="0" w:line="360" w:lineRule="auto"/>
        <w:ind w:firstLine="709"/>
        <w:jc w:val="both"/>
        <w:rPr>
          <w:rFonts w:ascii="Arial" w:hAnsi="Arial" w:cs="Arial"/>
          <w:lang w:val="es-AR"/>
        </w:rPr>
      </w:pPr>
      <w:r>
        <w:rPr>
          <w:rFonts w:ascii="Arial" w:hAnsi="Arial" w:cs="Arial"/>
          <w:lang w:val="es-AR"/>
        </w:rPr>
        <w:t xml:space="preserve">La psiquis es lo que hacen las estructuras corporales mientras se mantienen vivas (Rosa y </w:t>
      </w:r>
      <w:proofErr w:type="spellStart"/>
      <w:r>
        <w:rPr>
          <w:rFonts w:ascii="Arial" w:hAnsi="Arial" w:cs="Arial"/>
          <w:lang w:val="es-AR"/>
        </w:rPr>
        <w:t>Valsiner</w:t>
      </w:r>
      <w:proofErr w:type="spellEnd"/>
      <w:r>
        <w:rPr>
          <w:rFonts w:ascii="Arial" w:hAnsi="Arial" w:cs="Arial"/>
          <w:lang w:val="es-AR"/>
        </w:rPr>
        <w:t>, 2017, capítulo 2, en este volumen). Es por eso que el estudio de la psiquis se enfoca en el comportamiento, en lo que los organismos hacen cuando entran en contacto con objetos. La psicología sociocultural presta especial atención a cómo estos contactos cambian las cosas y el entorno y, también, a cómo afectan a la capacidad de acción de los agentes. Es la operación iterativa de este tipo de cambios lo que transforma la acción y abre el camino al desarrollo de las habilidades mentales, las estructuras sociales y la cultura.</w:t>
      </w:r>
    </w:p>
    <w:p w14:paraId="2823FE72" w14:textId="77777777" w:rsidR="00320AC8" w:rsidRDefault="00320AC8" w:rsidP="00320AC8">
      <w:pPr>
        <w:spacing w:after="0" w:line="360" w:lineRule="auto"/>
        <w:ind w:firstLine="709"/>
        <w:jc w:val="both"/>
        <w:rPr>
          <w:rFonts w:ascii="Arial" w:hAnsi="Arial" w:cs="Arial"/>
          <w:lang w:val="es-AR"/>
        </w:rPr>
      </w:pPr>
      <w:r>
        <w:rPr>
          <w:rFonts w:ascii="Arial" w:hAnsi="Arial" w:cs="Arial"/>
          <w:lang w:val="es-AR"/>
        </w:rPr>
        <w:t>La cultura es un producto histórico de la acción humana y también una serie de recursos y limitaciones para el accionar humano situado tanto social como individualmente. La cultura es un resultado del desarrollo, del esfuerzo puesto en transformar la naturaleza y está constituida por elementos materiales y maneras de actuar que delimitan el comportamiento humano (prácticas, instituciones, normas, valores). La segunda no existiría sin la primera, lo que hace inexcusable referirse a los elementos materiales que constituyen la cultura. Sin cosas, sin materia que lo complemente, no puede haber un espíritu, aunque el espíritu no pueda ser reducido a la materialidad de las cosas con las que nos conectamos.</w:t>
      </w:r>
    </w:p>
    <w:p w14:paraId="07E51689" w14:textId="77777777" w:rsidR="00320AC8" w:rsidRDefault="00320AC8" w:rsidP="00153FCD">
      <w:pPr>
        <w:spacing w:after="0" w:line="360" w:lineRule="auto"/>
        <w:ind w:firstLine="709"/>
        <w:jc w:val="both"/>
        <w:rPr>
          <w:rFonts w:ascii="Arial" w:hAnsi="Arial" w:cs="Arial"/>
          <w:i/>
          <w:lang w:val="es-AR"/>
        </w:rPr>
      </w:pPr>
      <w:r>
        <w:rPr>
          <w:rFonts w:ascii="Arial" w:hAnsi="Arial" w:cs="Arial"/>
          <w:i/>
          <w:lang w:val="es-AR"/>
        </w:rPr>
        <w:t>Cultura material: artefactos, máquinas y maquinaciones.</w:t>
      </w:r>
    </w:p>
    <w:p w14:paraId="7A9E454E" w14:textId="5C56C9D9" w:rsidR="00320AC8" w:rsidRDefault="00320AC8" w:rsidP="00320AC8">
      <w:pPr>
        <w:spacing w:after="0" w:line="360" w:lineRule="auto"/>
        <w:ind w:firstLine="709"/>
        <w:jc w:val="both"/>
        <w:rPr>
          <w:rFonts w:ascii="Arial" w:hAnsi="Arial" w:cs="Arial"/>
          <w:lang w:val="es-AR"/>
        </w:rPr>
      </w:pPr>
      <w:r>
        <w:rPr>
          <w:rFonts w:ascii="Arial" w:hAnsi="Arial" w:cs="Arial"/>
          <w:lang w:val="es-AR"/>
        </w:rPr>
        <w:t xml:space="preserve">La cultura material es el rastro que dejó el esfuerzo humano en el entorno, como un fragmento de vasija, hasta un castillo, una ciudad, un parque o un campo nivelado y, además las herramientas usadas para que esas transformaciones fueran posibles: azadas, arados, lápices o libros. La acción humana creó herramientas y transformó el entorno para responder a las necesidades de la vida social. El uso de los objetos naturales para servir a nuevos propósitos provocó la transformación de sus estructuras en la búsqueda de un desempeño más eficiente de la función que se les asignó. Una piedra afilada usada para </w:t>
      </w:r>
      <w:r>
        <w:rPr>
          <w:rFonts w:ascii="Arial" w:hAnsi="Arial" w:cs="Arial"/>
          <w:lang w:val="es-AR"/>
        </w:rPr>
        <w:lastRenderedPageBreak/>
        <w:t xml:space="preserve">despellejar desembocó en </w:t>
      </w:r>
      <w:r w:rsidR="00354382">
        <w:rPr>
          <w:rFonts w:ascii="Arial" w:hAnsi="Arial" w:cs="Arial"/>
          <w:lang w:val="es-AR"/>
        </w:rPr>
        <w:t>el tallado de</w:t>
      </w:r>
      <w:r>
        <w:rPr>
          <w:rFonts w:ascii="Arial" w:hAnsi="Arial" w:cs="Arial"/>
          <w:lang w:val="es-AR"/>
        </w:rPr>
        <w:t xml:space="preserve"> piedras para conseguir bordes más filosos con ese propósito, que, a su vez, incentivó nuevos usos de otras piedras para moler</w:t>
      </w:r>
      <w:r w:rsidR="00D5078C">
        <w:rPr>
          <w:rFonts w:ascii="Arial" w:hAnsi="Arial" w:cs="Arial"/>
          <w:lang w:val="es-AR"/>
        </w:rPr>
        <w:t xml:space="preserve"> y hacer de soporte</w:t>
      </w:r>
      <w:r>
        <w:rPr>
          <w:rFonts w:ascii="Arial" w:hAnsi="Arial" w:cs="Arial"/>
          <w:lang w:val="es-AR"/>
        </w:rPr>
        <w:t>. En resumen, la creación de herramientas es un proceso recurrente: algunas herramientas resultan en la producción de otras herramientas, y el uso de las unas y las otras transforman la capacidad de acción del operador, del agente. Por eso, cuando los arqueólogos estudian las características físicas de objetos del pasado, la información es útil para hacer conjeturas sobre el estilo de vida y las habilidades, y también las capacidades simbólicas, cognitivas o emocionales de los productores y usuarios porque, sin ellos, estos productos culturales jamás hubiesen sido creados y usados.</w:t>
      </w:r>
    </w:p>
    <w:p w14:paraId="24D5C2BD" w14:textId="7EFCC735" w:rsidR="00320AC8" w:rsidRDefault="00320AC8" w:rsidP="00320AC8">
      <w:pPr>
        <w:spacing w:after="0" w:line="360" w:lineRule="auto"/>
        <w:ind w:firstLine="709"/>
        <w:jc w:val="both"/>
        <w:rPr>
          <w:rFonts w:ascii="Arial" w:hAnsi="Arial" w:cs="Arial"/>
          <w:lang w:val="es-AR"/>
        </w:rPr>
      </w:pPr>
      <w:r>
        <w:rPr>
          <w:rFonts w:ascii="Arial" w:hAnsi="Arial" w:cs="Arial"/>
          <w:lang w:val="es-AR"/>
        </w:rPr>
        <w:t xml:space="preserve">La psicología sociocultural clasifica la centralidad de los artefactos para la construcción de funciones psicológicas de alto nivel en tres escalas diferentes: histórico-cultural, </w:t>
      </w:r>
      <w:r w:rsidR="005B2AA5">
        <w:rPr>
          <w:rFonts w:ascii="Arial" w:hAnsi="Arial" w:cs="Arial"/>
          <w:lang w:val="es-AR"/>
        </w:rPr>
        <w:t>ontogenética</w:t>
      </w:r>
      <w:r>
        <w:rPr>
          <w:rFonts w:ascii="Arial" w:hAnsi="Arial" w:cs="Arial"/>
          <w:lang w:val="es-AR"/>
        </w:rPr>
        <w:t xml:space="preserve"> y </w:t>
      </w:r>
      <w:proofErr w:type="spellStart"/>
      <w:r>
        <w:rPr>
          <w:rFonts w:ascii="Arial" w:hAnsi="Arial" w:cs="Arial"/>
          <w:lang w:val="es-AR"/>
        </w:rPr>
        <w:t>microg</w:t>
      </w:r>
      <w:r w:rsidR="005B2AA5">
        <w:rPr>
          <w:rFonts w:ascii="Arial" w:hAnsi="Arial" w:cs="Arial"/>
          <w:lang w:val="es-AR"/>
        </w:rPr>
        <w:t>e</w:t>
      </w:r>
      <w:r>
        <w:rPr>
          <w:rFonts w:ascii="Arial" w:hAnsi="Arial" w:cs="Arial"/>
          <w:lang w:val="es-AR"/>
        </w:rPr>
        <w:t>n</w:t>
      </w:r>
      <w:r w:rsidR="005B2AA5">
        <w:rPr>
          <w:rFonts w:ascii="Arial" w:hAnsi="Arial" w:cs="Arial"/>
          <w:lang w:val="es-AR"/>
        </w:rPr>
        <w:t>é</w:t>
      </w:r>
      <w:r>
        <w:rPr>
          <w:rFonts w:ascii="Arial" w:hAnsi="Arial" w:cs="Arial"/>
          <w:lang w:val="es-AR"/>
        </w:rPr>
        <w:t>tica</w:t>
      </w:r>
      <w:proofErr w:type="spellEnd"/>
      <w:r>
        <w:rPr>
          <w:rFonts w:ascii="Arial" w:hAnsi="Arial" w:cs="Arial"/>
          <w:lang w:val="es-AR"/>
        </w:rPr>
        <w:t xml:space="preserve">. Con frecuencia, el concepto de Zona de Desarrollo Próximo se entiende como la forma de explicar la intersección entre los planos temporales de la ontogénesis y la </w:t>
      </w:r>
      <w:proofErr w:type="spellStart"/>
      <w:r>
        <w:rPr>
          <w:rFonts w:ascii="Arial" w:hAnsi="Arial" w:cs="Arial"/>
          <w:lang w:val="es-AR"/>
        </w:rPr>
        <w:t>microgénesis</w:t>
      </w:r>
      <w:proofErr w:type="spellEnd"/>
      <w:r>
        <w:rPr>
          <w:rFonts w:ascii="Arial" w:hAnsi="Arial" w:cs="Arial"/>
          <w:lang w:val="es-AR"/>
        </w:rPr>
        <w:t xml:space="preserve"> al adquirir nuevas habilidades (por ejemplo, Cole, 1998); las investigaciones por lo general se concentran en la organización de los entornos sociales para el aprendizaje o en las complejidades de los procesos desplegados en esas interacciones (por ejemplo, </w:t>
      </w:r>
      <w:proofErr w:type="spellStart"/>
      <w:r>
        <w:rPr>
          <w:rFonts w:ascii="Arial" w:hAnsi="Arial" w:cs="Arial"/>
          <w:lang w:val="es-AR"/>
        </w:rPr>
        <w:t>Rodriguez</w:t>
      </w:r>
      <w:proofErr w:type="spellEnd"/>
      <w:r>
        <w:rPr>
          <w:rFonts w:ascii="Arial" w:hAnsi="Arial" w:cs="Arial"/>
          <w:lang w:val="es-AR"/>
        </w:rPr>
        <w:t xml:space="preserve">, 2007). Por lo general, los artefactos culturales ya hechos se usaron como material de estudio del dominio de las habilidades </w:t>
      </w:r>
      <w:proofErr w:type="spellStart"/>
      <w:r w:rsidR="005B2AA5">
        <w:rPr>
          <w:rFonts w:ascii="Arial" w:hAnsi="Arial" w:cs="Arial"/>
          <w:lang w:val="es-AR"/>
        </w:rPr>
        <w:t>preidentificadas</w:t>
      </w:r>
      <w:proofErr w:type="spellEnd"/>
      <w:r>
        <w:rPr>
          <w:rFonts w:ascii="Arial" w:hAnsi="Arial" w:cs="Arial"/>
          <w:lang w:val="es-AR"/>
        </w:rPr>
        <w:t xml:space="preserve"> como hitos en el curso del desarrollo. En contraste, se prestó menos atención a la transformación o la producción de artefactos nuevos y a los procesos causantes de dichas creaciones; es decir, lo que se suele llamar creatividad (ver </w:t>
      </w:r>
      <w:proofErr w:type="spellStart"/>
      <w:r>
        <w:rPr>
          <w:rFonts w:ascii="Arial" w:hAnsi="Arial" w:cs="Arial"/>
          <w:lang w:val="es-AR"/>
        </w:rPr>
        <w:t>Glaveanu</w:t>
      </w:r>
      <w:proofErr w:type="spellEnd"/>
      <w:r>
        <w:rPr>
          <w:rFonts w:ascii="Arial" w:hAnsi="Arial" w:cs="Arial"/>
          <w:lang w:val="es-AR"/>
        </w:rPr>
        <w:t>, 2017; en este volumen). La comprensión del desarrollo histórico de los elementos culturales y cómo podrían afectar las habilidades psicológicas (o viceversa) es un tema de especial interés para los estudios multiculturales. Otras disciplinas, como la arqueología, la paleontología o la historia, también facilitan información e interpretaciones que vale la pena tener en cuenta.</w:t>
      </w:r>
    </w:p>
    <w:p w14:paraId="379C9AD0" w14:textId="77777777" w:rsidR="00320AC8" w:rsidRDefault="00320AC8" w:rsidP="00320AC8">
      <w:pPr>
        <w:spacing w:after="0" w:line="360" w:lineRule="auto"/>
        <w:ind w:firstLine="709"/>
        <w:jc w:val="both"/>
        <w:rPr>
          <w:rFonts w:ascii="Arial" w:hAnsi="Arial" w:cs="Arial"/>
          <w:lang w:val="es-AR"/>
        </w:rPr>
      </w:pPr>
      <w:r>
        <w:rPr>
          <w:rFonts w:ascii="Arial" w:hAnsi="Arial" w:cs="Arial"/>
          <w:lang w:val="es-AR"/>
        </w:rPr>
        <w:t xml:space="preserve">El concepto de artefacto hace referencia a muchos tipos diferentes de propósitos meditativos para el accionar. Comienza con el cambio del uso de un objeto natural para un propósito (usar una piedra para abrir una nuez), la manufactura de herramientas, la producción de símbolos para comunicarse (gestos convencionales, palabras), la creación de reglas para moderar las interacciones sociales (normas) y la formación de grupos sociales. Todos estos elementos se relacionan en una cadena de operaciones que delimitan el comportamiento del operador para generar un resultado: la eficiente creación de un producto. De esta manera, la creación de artefactos está muy ligada al desarrollo de la </w:t>
      </w:r>
      <w:r>
        <w:rPr>
          <w:rFonts w:ascii="Arial" w:hAnsi="Arial" w:cs="Arial"/>
          <w:lang w:val="es-AR"/>
        </w:rPr>
        <w:lastRenderedPageBreak/>
        <w:t xml:space="preserve">agencia, a las capacidades de planeación y a las habilidades para establecer una meta y mantener un rumbo estable para alcanzar objetivos prefijados. </w:t>
      </w:r>
    </w:p>
    <w:p w14:paraId="0DEBE25A" w14:textId="77777777" w:rsidR="00320AC8" w:rsidRDefault="00320AC8" w:rsidP="00320AC8">
      <w:pPr>
        <w:spacing w:after="0" w:line="360" w:lineRule="auto"/>
        <w:ind w:firstLine="709"/>
        <w:jc w:val="both"/>
        <w:rPr>
          <w:rFonts w:ascii="Arial" w:hAnsi="Arial" w:cs="Arial"/>
          <w:lang w:val="es-AR"/>
        </w:rPr>
      </w:pPr>
      <w:r>
        <w:rPr>
          <w:rFonts w:ascii="Arial" w:hAnsi="Arial" w:cs="Arial"/>
          <w:lang w:val="es-AR"/>
        </w:rPr>
        <w:t xml:space="preserve">Los artefactos se crean para incrementar la eficacia de la acción humana, pero también canalizan y restringen lo que podemos hacer con ellos. Los artefactos también pueden interactuar entre sí: martillos, yunques, fuelles y un fogón forman una forja en la que un herrero crea instrumentos de hierro. Pero las herramientas también pueden colaborar entre sí sin la intervención de un ser humano. Un carburador, junto con las cámaras de combustión, los pistones, las bielas, las bujías y los fusibles constituyen un motor de combustión interna en el que todas las partes se coordinan entre sí para que, cuando se encienda, siga funcionando hasta agotarse el combustible. Esta asociación entre herramientas recibe el nombre de máquina y tiene la capacidad de funcionar de manera autónoma, al punto de ser posible que olvidemos de qué está hecha y nos parezca una especie de «caja negra», cuyo funcionamiento interno es un misterio para el usuario, al que solo le importa que siga funcionando cuando lo necesite, de la misma forma que muchas personas conciben el motor de un auto, siempre oculto debajo de un capó que nunca se abre. </w:t>
      </w:r>
    </w:p>
    <w:p w14:paraId="01184FB5" w14:textId="77777777" w:rsidR="009C11DA" w:rsidRPr="00320AC8" w:rsidRDefault="009C11DA">
      <w:pPr>
        <w:rPr>
          <w:lang w:val="es-AR"/>
        </w:rPr>
      </w:pPr>
    </w:p>
    <w:sectPr w:rsidR="009C11DA" w:rsidRPr="00320AC8">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C41A2" w14:textId="77777777" w:rsidR="00CC472D" w:rsidRDefault="00CC472D" w:rsidP="00153FCD">
      <w:pPr>
        <w:spacing w:after="0" w:line="240" w:lineRule="auto"/>
      </w:pPr>
      <w:r>
        <w:separator/>
      </w:r>
    </w:p>
  </w:endnote>
  <w:endnote w:type="continuationSeparator" w:id="0">
    <w:p w14:paraId="28B819CE" w14:textId="77777777" w:rsidR="00CC472D" w:rsidRDefault="00CC472D" w:rsidP="00153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C9322" w14:textId="77777777" w:rsidR="00CC472D" w:rsidRDefault="00CC472D" w:rsidP="00153FCD">
      <w:pPr>
        <w:spacing w:after="0" w:line="240" w:lineRule="auto"/>
      </w:pPr>
      <w:r>
        <w:separator/>
      </w:r>
    </w:p>
  </w:footnote>
  <w:footnote w:type="continuationSeparator" w:id="0">
    <w:p w14:paraId="2827D59C" w14:textId="77777777" w:rsidR="00CC472D" w:rsidRDefault="00CC472D" w:rsidP="00153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3616" w14:textId="7FE4344F" w:rsidR="00153FCD" w:rsidRPr="00153FCD" w:rsidRDefault="00153FCD" w:rsidP="00153FCD">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EC9"/>
    <w:rsid w:val="00153FCD"/>
    <w:rsid w:val="00320AC8"/>
    <w:rsid w:val="00354382"/>
    <w:rsid w:val="005B2AA5"/>
    <w:rsid w:val="00953F8D"/>
    <w:rsid w:val="009C11DA"/>
    <w:rsid w:val="00B61EC9"/>
    <w:rsid w:val="00CC472D"/>
    <w:rsid w:val="00D50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5B431"/>
  <w15:chartTrackingRefBased/>
  <w15:docId w15:val="{07026CDF-4D87-4147-8769-3A01510F0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AC8"/>
    <w:pPr>
      <w:spacing w:after="200" w:line="276" w:lineRule="auto"/>
    </w:pPr>
    <w:rPr>
      <w:rFonts w:eastAsiaTheme="minorEastAsia"/>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FCD"/>
    <w:pPr>
      <w:tabs>
        <w:tab w:val="center" w:pos="4252"/>
        <w:tab w:val="right" w:pos="8504"/>
      </w:tabs>
      <w:spacing w:after="0" w:line="240" w:lineRule="auto"/>
    </w:pPr>
  </w:style>
  <w:style w:type="character" w:customStyle="1" w:styleId="HeaderChar">
    <w:name w:val="Header Char"/>
    <w:basedOn w:val="DefaultParagraphFont"/>
    <w:link w:val="Header"/>
    <w:uiPriority w:val="99"/>
    <w:rsid w:val="00153FCD"/>
    <w:rPr>
      <w:rFonts w:eastAsiaTheme="minorEastAsia"/>
      <w:lang w:val="es-ES" w:eastAsia="es-ES"/>
    </w:rPr>
  </w:style>
  <w:style w:type="paragraph" w:styleId="Footer">
    <w:name w:val="footer"/>
    <w:basedOn w:val="Normal"/>
    <w:link w:val="FooterChar"/>
    <w:uiPriority w:val="99"/>
    <w:unhideWhenUsed/>
    <w:rsid w:val="00153FCD"/>
    <w:pPr>
      <w:tabs>
        <w:tab w:val="center" w:pos="4252"/>
        <w:tab w:val="right" w:pos="8504"/>
      </w:tabs>
      <w:spacing w:after="0" w:line="240" w:lineRule="auto"/>
    </w:pPr>
  </w:style>
  <w:style w:type="character" w:customStyle="1" w:styleId="FooterChar">
    <w:name w:val="Footer Char"/>
    <w:basedOn w:val="DefaultParagraphFont"/>
    <w:link w:val="Footer"/>
    <w:uiPriority w:val="99"/>
    <w:rsid w:val="00153FCD"/>
    <w:rPr>
      <w:rFonts w:eastAsiaTheme="minorEastAsia"/>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46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1064</Words>
  <Characters>5853</Characters>
  <Application>Microsoft Office Word</Application>
  <DocSecurity>0</DocSecurity>
  <Lines>48</Lines>
  <Paragraphs>13</Paragraphs>
  <ScaleCrop>false</ScaleCrop>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6</cp:revision>
  <dcterms:created xsi:type="dcterms:W3CDTF">2021-12-28T14:55:00Z</dcterms:created>
  <dcterms:modified xsi:type="dcterms:W3CDTF">2021-12-28T15:03:00Z</dcterms:modified>
</cp:coreProperties>
</file>